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C6" w:rsidRDefault="00C31FBF" w:rsidP="00AD5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ч</w:t>
      </w:r>
      <w:r w:rsidR="005B4C9C">
        <w:rPr>
          <w:rFonts w:ascii="Times New Roman" w:hAnsi="Times New Roman" w:cs="Times New Roman"/>
          <w:sz w:val="28"/>
          <w:szCs w:val="28"/>
        </w:rPr>
        <w:t xml:space="preserve">асто задаваемые </w:t>
      </w:r>
      <w:r w:rsidR="00CD54DE" w:rsidRPr="00CD54DE"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AD5CC6" w:rsidRDefault="00CD54DE" w:rsidP="00AD5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4DE">
        <w:rPr>
          <w:rFonts w:ascii="Times New Roman" w:hAnsi="Times New Roman" w:cs="Times New Roman"/>
          <w:sz w:val="28"/>
          <w:szCs w:val="28"/>
        </w:rPr>
        <w:t xml:space="preserve"> в части оплаты труда </w:t>
      </w:r>
      <w:r w:rsidR="005B4C9C" w:rsidRPr="00CD54DE">
        <w:rPr>
          <w:rFonts w:ascii="Times New Roman" w:hAnsi="Times New Roman" w:cs="Times New Roman"/>
          <w:sz w:val="28"/>
          <w:szCs w:val="28"/>
        </w:rPr>
        <w:t>медицинских работников</w:t>
      </w:r>
    </w:p>
    <w:p w:rsidR="005E4AB1" w:rsidRDefault="00CD54DE" w:rsidP="00AD5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4DE">
        <w:rPr>
          <w:rFonts w:ascii="Times New Roman" w:hAnsi="Times New Roman" w:cs="Times New Roman"/>
          <w:sz w:val="28"/>
          <w:szCs w:val="28"/>
        </w:rPr>
        <w:t>в учреждениях здравоохранения Республики Татарстан</w:t>
      </w:r>
    </w:p>
    <w:p w:rsidR="00CD54DE" w:rsidRDefault="00CD54DE" w:rsidP="0038063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4395"/>
        <w:gridCol w:w="10064"/>
      </w:tblGrid>
      <w:tr w:rsidR="00CD54DE" w:rsidTr="00C31FBF">
        <w:tc>
          <w:tcPr>
            <w:tcW w:w="675" w:type="dxa"/>
          </w:tcPr>
          <w:p w:rsidR="00CD54DE" w:rsidRPr="00AD5CC6" w:rsidRDefault="007C54BF" w:rsidP="003806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54BF" w:rsidRPr="00AD5CC6" w:rsidRDefault="007C54BF" w:rsidP="003806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C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C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CD54DE" w:rsidRPr="00AD5CC6" w:rsidRDefault="00345F63" w:rsidP="003806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54BF" w:rsidRPr="00AD5CC6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</w:tc>
        <w:tc>
          <w:tcPr>
            <w:tcW w:w="10064" w:type="dxa"/>
          </w:tcPr>
          <w:p w:rsidR="00CD54DE" w:rsidRPr="00AD5CC6" w:rsidRDefault="00345F63" w:rsidP="003806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54BF" w:rsidRPr="00AD5CC6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</w:p>
        </w:tc>
      </w:tr>
      <w:tr w:rsidR="00CD54DE" w:rsidTr="00C31FBF">
        <w:tc>
          <w:tcPr>
            <w:tcW w:w="675" w:type="dxa"/>
          </w:tcPr>
          <w:p w:rsidR="00CD54DE" w:rsidRPr="006A2273" w:rsidRDefault="007C54BF" w:rsidP="003806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D54DE" w:rsidRPr="001D061E" w:rsidRDefault="00F81AEC" w:rsidP="0038063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E">
              <w:rPr>
                <w:rFonts w:ascii="Times New Roman" w:hAnsi="Times New Roman" w:cs="Times New Roman"/>
                <w:sz w:val="24"/>
                <w:szCs w:val="24"/>
              </w:rPr>
              <w:t xml:space="preserve">Каким нормативным актом утверждены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 труда медицинских работников</w:t>
            </w:r>
            <w:r w:rsidRPr="001D061E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Татарстан?</w:t>
            </w:r>
          </w:p>
        </w:tc>
        <w:tc>
          <w:tcPr>
            <w:tcW w:w="10064" w:type="dxa"/>
          </w:tcPr>
          <w:p w:rsidR="00CD54DE" w:rsidRDefault="004F222C" w:rsidP="00380636">
            <w:pPr>
              <w:spacing w:line="288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0725" w:rsidRPr="001D061E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1D06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E0725" w:rsidRPr="001D061E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Республики Татарстан от </w:t>
            </w:r>
            <w:r w:rsidR="004E0725"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25.04.2012 № 323</w:t>
            </w:r>
            <w:r w:rsidR="004E0725" w:rsidRPr="001D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94C" w:rsidRPr="00B37F91">
              <w:rPr>
                <w:rFonts w:ascii="Times New Roman" w:hAnsi="Times New Roman" w:cs="Times New Roman"/>
                <w:sz w:val="24"/>
                <w:szCs w:val="24"/>
              </w:rPr>
              <w:t>«Об условиях оплаты труда работников медицинских организаций, подведомственных исполн</w:t>
            </w:r>
            <w:r w:rsidR="003C794C" w:rsidRPr="00B37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94C" w:rsidRPr="00B37F91">
              <w:rPr>
                <w:rFonts w:ascii="Times New Roman" w:hAnsi="Times New Roman" w:cs="Times New Roman"/>
                <w:sz w:val="24"/>
                <w:szCs w:val="24"/>
              </w:rPr>
              <w:t>тельным органам государственной власти Республики Татарстан и отдельных нетиповых учреждений, подведомственных Министерству здравоохранения Республики Татарстан»</w:t>
            </w:r>
            <w:r w:rsidR="003C794C" w:rsidRPr="001D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725" w:rsidRPr="001D061E">
              <w:rPr>
                <w:rFonts w:ascii="Times New Roman" w:hAnsi="Times New Roman" w:cs="Times New Roman"/>
                <w:sz w:val="24"/>
                <w:szCs w:val="24"/>
              </w:rPr>
              <w:t>(с п</w:t>
            </w:r>
            <w:r w:rsidR="004E0725" w:rsidRPr="001D0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039C">
              <w:rPr>
                <w:rFonts w:ascii="Times New Roman" w:hAnsi="Times New Roman" w:cs="Times New Roman"/>
                <w:sz w:val="24"/>
                <w:szCs w:val="24"/>
              </w:rPr>
              <w:t>следующими изменениями</w:t>
            </w:r>
            <w:r w:rsidR="00ED039C" w:rsidRPr="00ED0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0725" w:rsidRPr="001D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927" w:rsidRPr="001D061E" w:rsidRDefault="00E90927" w:rsidP="00380636">
            <w:pPr>
              <w:spacing w:line="288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DE" w:rsidTr="00C31FBF">
        <w:tc>
          <w:tcPr>
            <w:tcW w:w="675" w:type="dxa"/>
          </w:tcPr>
          <w:p w:rsidR="00CD54DE" w:rsidRPr="006A2273" w:rsidRDefault="00F81AEC" w:rsidP="003806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D54DE" w:rsidRPr="001D061E" w:rsidRDefault="00C15DC0" w:rsidP="0038063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1E">
              <w:rPr>
                <w:rFonts w:ascii="Times New Roman" w:hAnsi="Times New Roman" w:cs="Times New Roman"/>
                <w:sz w:val="24"/>
                <w:szCs w:val="24"/>
              </w:rPr>
              <w:t>Какими нормативными актами</w:t>
            </w:r>
            <w:r w:rsidR="00F81AEC" w:rsidRPr="001D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61E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1D06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061E">
              <w:rPr>
                <w:rFonts w:ascii="Times New Roman" w:hAnsi="Times New Roman" w:cs="Times New Roman"/>
                <w:sz w:val="24"/>
                <w:szCs w:val="24"/>
              </w:rPr>
              <w:t xml:space="preserve">жден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премирования руков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r w:rsidR="001D061E"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телей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</w:t>
            </w:r>
            <w:r w:rsidR="001D061E"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D061E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  <w:r w:rsidR="000F1C2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  <w:r w:rsidRPr="001D06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064" w:type="dxa"/>
          </w:tcPr>
          <w:p w:rsidR="00B37F91" w:rsidRPr="00B37F91" w:rsidRDefault="00B37F91" w:rsidP="00380636">
            <w:pPr>
              <w:spacing w:line="288" w:lineRule="auto"/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91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основной деятельности за счет средств бюджета и обязательного медицинского страхования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37F91" w:rsidRPr="00B37F91" w:rsidRDefault="00B37F91" w:rsidP="00380636">
            <w:pPr>
              <w:spacing w:line="288" w:lineRule="auto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91" w:rsidRPr="00B37F91" w:rsidRDefault="00B37F91" w:rsidP="00380636">
            <w:pPr>
              <w:spacing w:line="288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премирования руководителей учреждений здравоохранения определены </w:t>
            </w:r>
            <w:r w:rsidR="003C794C">
              <w:rPr>
                <w:rFonts w:ascii="Times New Roman" w:hAnsi="Times New Roman" w:cs="Times New Roman"/>
                <w:sz w:val="24"/>
                <w:szCs w:val="24"/>
              </w:rPr>
              <w:t>следу</w:t>
            </w:r>
            <w:r w:rsidR="003C79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C794C">
              <w:rPr>
                <w:rFonts w:ascii="Times New Roman" w:hAnsi="Times New Roman" w:cs="Times New Roman"/>
                <w:sz w:val="24"/>
                <w:szCs w:val="24"/>
              </w:rPr>
              <w:t xml:space="preserve">щими пунктами 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3C79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Республики Татарстан от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25.04.2012 № 323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оплаты труда работников медицинских организаций, подведомственных и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полнительным органам государственной власти Республики Татарстан и отдельных нетиповых учреждений, подведомственных Министерству здравоохранения Республики Татарстан»:</w:t>
            </w:r>
          </w:p>
          <w:p w:rsidR="00B37F91" w:rsidRPr="005B4C9C" w:rsidRDefault="00B37F91" w:rsidP="00380636">
            <w:pPr>
              <w:pStyle w:val="ConsPlusNormal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9C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стимулировании руководителей подведомственных организаций оформляются нормативным правовым актом учредителя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(п.</w:t>
            </w:r>
            <w:r w:rsidR="00ED039C" w:rsidRPr="00ED03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039C" w:rsidRPr="00ED03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.).</w:t>
            </w:r>
          </w:p>
          <w:p w:rsidR="00B37F91" w:rsidRPr="005B4C9C" w:rsidRDefault="00B37F91" w:rsidP="00380636">
            <w:pPr>
              <w:pStyle w:val="ConsPlusNormal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Положение о предоставлении выплат стимулирующего характера отражается в трудовом договоре, заключаемом между руководителем и учредителем, путем заключения дополнител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ного соглашения к трудовому договору. Дополнительное соглашение к трудовому договору заключается на срок до одного года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(п.</w:t>
            </w:r>
            <w:r w:rsidR="00ED039C" w:rsidRPr="00ED039C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.).</w:t>
            </w:r>
          </w:p>
          <w:p w:rsidR="00B37F91" w:rsidRPr="00B37F91" w:rsidRDefault="00B37F91" w:rsidP="00380636">
            <w:pPr>
              <w:pStyle w:val="ConsPlusNormal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Учредитель может устанавливать руководителю медицинской организации выплаты ст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мулирующего характера за качество выполняемых работ в размере должностного оклада с уч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том результатов деятельности организации, определенных на основании критериев эффекти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организации за счет </w:t>
            </w:r>
            <w:proofErr w:type="gramStart"/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средств фонда стимулирования руководителя орган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gramEnd"/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экономии средств по фонду оплаты труда организации </w:t>
            </w:r>
          </w:p>
          <w:p w:rsidR="00B37F91" w:rsidRPr="005B4C9C" w:rsidRDefault="00B37F91" w:rsidP="00380636">
            <w:pPr>
              <w:pStyle w:val="ConsPlusNormal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Выплаты стимулирующего характера руководителю медицинской организации могут осуществляться ежемесячно, по итогам работы за год, за выполнение важных и особо важных заданий </w:t>
            </w:r>
            <w:r w:rsidR="00380636" w:rsidRPr="00380636">
              <w:rPr>
                <w:rFonts w:ascii="Times New Roman" w:hAnsi="Times New Roman" w:cs="Times New Roman"/>
                <w:b/>
                <w:sz w:val="24"/>
                <w:szCs w:val="24"/>
              </w:rPr>
              <w:t>(п.6.8.).</w:t>
            </w:r>
          </w:p>
          <w:p w:rsidR="00B37F91" w:rsidRPr="00B37F91" w:rsidRDefault="00B37F91" w:rsidP="00380636">
            <w:pPr>
              <w:spacing w:line="288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91" w:rsidRPr="00B37F91" w:rsidRDefault="00B37F91" w:rsidP="00380636">
            <w:pPr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91">
              <w:rPr>
                <w:rFonts w:ascii="Times New Roman" w:hAnsi="Times New Roman" w:cs="Times New Roman"/>
                <w:b/>
                <w:sz w:val="24"/>
                <w:szCs w:val="24"/>
              </w:rPr>
              <w:t>По предпринимательской деятельности за организацию предоставления платных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37F91" w:rsidRPr="00B37F91" w:rsidRDefault="00B37F91" w:rsidP="00380636">
            <w:pPr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91" w:rsidRPr="00B37F91" w:rsidRDefault="00B37F91" w:rsidP="00380636">
            <w:pPr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Материальное поощрение руководителя медицинской организации, подведомственной Министерству здравоохранения Республики Татарстан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ляется 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зом Министерства здравоохранения Республики Татарстан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от 31.10.2014 № 1989</w:t>
            </w:r>
            <w:r w:rsidR="00380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изменен</w:t>
            </w:r>
            <w:r w:rsidR="003806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0636">
              <w:rPr>
                <w:rFonts w:ascii="Times New Roman" w:hAnsi="Times New Roman" w:cs="Times New Roman"/>
                <w:b/>
                <w:sz w:val="24"/>
                <w:szCs w:val="24"/>
              </w:rPr>
              <w:t>ями)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. Согласно данному приказу Минздравом РТ ежемесячно утверждаются размеры матер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ального поощрения руководителей подведомственных медицинских учреждений за организ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цию предоставления платных услуг.</w:t>
            </w:r>
          </w:p>
          <w:p w:rsidR="00CD54DE" w:rsidRDefault="00CD54DE" w:rsidP="0038063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4DE" w:rsidTr="00C31FBF">
        <w:tc>
          <w:tcPr>
            <w:tcW w:w="675" w:type="dxa"/>
          </w:tcPr>
          <w:p w:rsidR="00CD54DE" w:rsidRPr="00D450E0" w:rsidRDefault="006A2273" w:rsidP="003806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CD54DE" w:rsidRPr="00D450E0" w:rsidRDefault="00C15DC0" w:rsidP="0038063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0E0">
              <w:rPr>
                <w:rFonts w:ascii="Times New Roman" w:hAnsi="Times New Roman" w:cs="Times New Roman"/>
                <w:sz w:val="24"/>
                <w:szCs w:val="24"/>
              </w:rPr>
              <w:t>Какими нормативными актами утве</w:t>
            </w:r>
            <w:r w:rsidRPr="00D450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0E0">
              <w:rPr>
                <w:rFonts w:ascii="Times New Roman" w:hAnsi="Times New Roman" w:cs="Times New Roman"/>
                <w:sz w:val="24"/>
                <w:szCs w:val="24"/>
              </w:rPr>
              <w:t xml:space="preserve">жден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премирования мед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цинских работников</w:t>
            </w:r>
            <w:r w:rsidRPr="00D4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C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50E0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 w:rsidR="000F1C29">
              <w:rPr>
                <w:rFonts w:ascii="Times New Roman" w:hAnsi="Times New Roman" w:cs="Times New Roman"/>
                <w:sz w:val="24"/>
                <w:szCs w:val="24"/>
              </w:rPr>
              <w:t>ждениях</w:t>
            </w:r>
            <w:r w:rsidRPr="00D450E0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  <w:r w:rsidR="000F1C2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</w:t>
            </w:r>
            <w:r w:rsidR="000F1C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1C29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Pr="00D450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064" w:type="dxa"/>
          </w:tcPr>
          <w:p w:rsidR="00756E3F" w:rsidRPr="00B37F91" w:rsidRDefault="00756E3F" w:rsidP="00380636">
            <w:pPr>
              <w:spacing w:line="288" w:lineRule="auto"/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91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основной деятельности за счет средств бюджета и обязательного медицинского страхования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6E3F" w:rsidRPr="00B37F91" w:rsidRDefault="00756E3F" w:rsidP="00380636">
            <w:pPr>
              <w:spacing w:line="288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BB0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следующими пунктами 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Республики Татарстан от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25.04.2012 № 323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оплаты труда работников медицинских организаций, подведомственных исполн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>тельным органам государственной власти Республики Татарстан и отдельных нетиповых учреждений, подведомственных Министерству здравоохранения Республики Татарстан»:</w:t>
            </w:r>
          </w:p>
          <w:p w:rsidR="00380636" w:rsidRDefault="00380636" w:rsidP="0038063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36">
              <w:rPr>
                <w:rFonts w:ascii="Times New Roman" w:hAnsi="Times New Roman" w:cs="Times New Roman"/>
                <w:b/>
                <w:sz w:val="24"/>
                <w:szCs w:val="24"/>
              </w:rPr>
              <w:t>4.2.8.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Премиальные и иные поощрительные выплаты устанавливаются за определенный период времени (месяц, квартал, год), в том числе единовременно, в целях стимулирования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стижения эффективных результатов труда, повышения эффективности деятельности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государственных организаций Республики Татарстан с учетом необходимости обеспечения достигнутого уровня целевых показателей, установленных 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Указом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от 7 мая 2012 года № 597 "О мероприятиях по реализации государственной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политики", в 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юбилейными датами, получением знаков отличия, благодарственных писем, грамот, государственных наград и по иным основаниям, установленным локальными актами организаций и коллективными договорами. </w:t>
            </w:r>
          </w:p>
          <w:p w:rsidR="00380636" w:rsidRPr="00380636" w:rsidRDefault="00380636" w:rsidP="0038063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36">
              <w:rPr>
                <w:rFonts w:ascii="Times New Roman" w:hAnsi="Times New Roman" w:cs="Times New Roman"/>
                <w:b/>
                <w:sz w:val="24"/>
                <w:szCs w:val="24"/>
              </w:rPr>
              <w:t>Размеры, порядок и условия осуществления премиальных и иных поощрительных выплат определяются локальными актами организации и коллективными договорами.</w:t>
            </w:r>
          </w:p>
          <w:p w:rsidR="00380636" w:rsidRDefault="00380636" w:rsidP="0038063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636" w:rsidRPr="00380636" w:rsidRDefault="00380636" w:rsidP="0038063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4.8.1. Выплаты за качество выполняемых работ устанавливаются работникам госуда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организаций Республики Татарстан по результатам труда за определенный период времени. Основным критерием, влияющим на размер выплат за качество выполняемых работ, является достижение пороговых </w:t>
            </w:r>
            <w:proofErr w:type="gramStart"/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значений критериев оценки эффективности деятельности р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организаций</w:t>
            </w:r>
            <w:proofErr w:type="gramEnd"/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636" w:rsidRPr="00380636" w:rsidRDefault="00380636" w:rsidP="0038063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 xml:space="preserve">4.8.2. Критерии </w:t>
            </w:r>
            <w:proofErr w:type="gramStart"/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деятельности работников государственной орг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gramEnd"/>
            <w:r w:rsidRPr="0038063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утверждаются ее руководителем. Конкретные значения </w:t>
            </w:r>
            <w:proofErr w:type="gramStart"/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критериев оценки эффекти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ности деятельности работников государственной организации</w:t>
            </w:r>
            <w:proofErr w:type="gramEnd"/>
            <w:r w:rsidRPr="00380636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осуществления в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плат определяются ежегодно исходя из задач, стоящих перед государственной организацией.</w:t>
            </w:r>
          </w:p>
          <w:p w:rsidR="00380636" w:rsidRPr="00380636" w:rsidRDefault="00380636" w:rsidP="0038063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4.8.3. Размеры, порядок и условия осуществления выплат за качество выполняемых работ определяются локальными нормативными актами государственной организации и коллекти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0636">
              <w:rPr>
                <w:rFonts w:ascii="Times New Roman" w:hAnsi="Times New Roman" w:cs="Times New Roman"/>
                <w:sz w:val="24"/>
                <w:szCs w:val="24"/>
              </w:rPr>
              <w:t>ными договорами.</w:t>
            </w:r>
          </w:p>
          <w:p w:rsidR="00380636" w:rsidRDefault="00380636" w:rsidP="0038063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B0" w:rsidRPr="00B37F91" w:rsidRDefault="005C7BB0" w:rsidP="00380636">
            <w:pPr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91">
              <w:rPr>
                <w:rFonts w:ascii="Times New Roman" w:hAnsi="Times New Roman" w:cs="Times New Roman"/>
                <w:b/>
                <w:sz w:val="24"/>
                <w:szCs w:val="24"/>
              </w:rPr>
              <w:t>По предпринимательской деятельности за предоставлен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B3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платных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7BB0" w:rsidRDefault="005C7BB0" w:rsidP="00380636">
            <w:pPr>
              <w:spacing w:line="288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премирования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r w:rsidRPr="00B3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145" w:rsidRPr="005C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145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</w:t>
            </w:r>
            <w:r w:rsidR="00694145" w:rsidRPr="005C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определяются </w:t>
            </w:r>
            <w:r w:rsidR="00184876"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локал</w:t>
            </w:r>
            <w:r w:rsidR="00184876"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84876"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ными нормативными актами организации и коллективными договорами</w:t>
            </w:r>
            <w:r w:rsidR="00184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4BF" w:rsidTr="00C31FBF">
        <w:tc>
          <w:tcPr>
            <w:tcW w:w="675" w:type="dxa"/>
          </w:tcPr>
          <w:p w:rsidR="007C54BF" w:rsidRDefault="007C54BF" w:rsidP="0038063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C54BF" w:rsidRDefault="00773C36" w:rsidP="0038063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р</w:t>
            </w: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 xml:space="preserve">азмер повышения оплаты труда за работу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в ночное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064" w:type="dxa"/>
          </w:tcPr>
          <w:p w:rsidR="00DC7BBC" w:rsidRDefault="00773C36" w:rsidP="00380636">
            <w:pPr>
              <w:pStyle w:val="ConsPlusNormal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4BA7" w:rsidRPr="00EB1BBE">
              <w:rPr>
                <w:rFonts w:ascii="Times New Roman" w:hAnsi="Times New Roman" w:cs="Times New Roman"/>
                <w:sz w:val="24"/>
                <w:szCs w:val="24"/>
              </w:rPr>
              <w:t>азмер повышения оплаты труда за работу в ночное время (с 22 часов до 6 часов) соста</w:t>
            </w:r>
            <w:r w:rsidR="00964BA7" w:rsidRPr="00EB1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4BA7" w:rsidRPr="00EB1BBE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="00964BA7"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50 процентов часовой тарифной ставки (</w:t>
            </w:r>
            <w:r w:rsidR="00964BA7" w:rsidRPr="00EB1BBE">
              <w:rPr>
                <w:rFonts w:ascii="Times New Roman" w:hAnsi="Times New Roman" w:cs="Times New Roman"/>
                <w:sz w:val="24"/>
                <w:szCs w:val="24"/>
              </w:rPr>
              <w:t xml:space="preserve">оклада (должностного оклада), рассчитанного </w:t>
            </w:r>
            <w:r w:rsidR="00964BA7" w:rsidRPr="00EB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час работы) за каждый час работы в ночное время. </w:t>
            </w:r>
          </w:p>
          <w:p w:rsidR="00964BA7" w:rsidRPr="00EB1BBE" w:rsidRDefault="00964BA7" w:rsidP="00380636">
            <w:pPr>
              <w:pStyle w:val="ConsPlusNormal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BC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Персоналу станций (отделений) скорой медицинской помощи, занятому оказанием скорой медицинской помощи</w:t>
            </w: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>, размер повышения оплаты труда за работу в ночное время с</w:t>
            </w: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соответственно </w:t>
            </w:r>
            <w:r w:rsidRPr="005B4C9C">
              <w:rPr>
                <w:rFonts w:ascii="Times New Roman" w:hAnsi="Times New Roman" w:cs="Times New Roman"/>
                <w:b/>
                <w:sz w:val="24"/>
                <w:szCs w:val="24"/>
              </w:rPr>
              <w:t>100 процентов часовой тарифной ставки</w:t>
            </w: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 xml:space="preserve"> (оклада (должностного оклада), рассчитанного за час работы) за каждый час работы в ночное время. Размер надбавки за работу в ночное время может быть определен коллективным договором организации в пр</w:t>
            </w: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>делах экономии фонда оплаты труда.</w:t>
            </w:r>
          </w:p>
          <w:p w:rsidR="007C54BF" w:rsidRPr="00EB1BBE" w:rsidRDefault="007C54BF" w:rsidP="00DC2FDA">
            <w:pPr>
              <w:pStyle w:val="ConsPlusNormal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BF" w:rsidTr="00C31FBF">
        <w:tc>
          <w:tcPr>
            <w:tcW w:w="675" w:type="dxa"/>
          </w:tcPr>
          <w:p w:rsidR="007C54BF" w:rsidRDefault="007C54BF" w:rsidP="0038063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C54BF" w:rsidRPr="00773C36" w:rsidRDefault="00773C36" w:rsidP="0038063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3C36">
              <w:rPr>
                <w:rFonts w:ascii="Times New Roman" w:hAnsi="Times New Roman" w:cs="Times New Roman"/>
                <w:sz w:val="24"/>
                <w:szCs w:val="24"/>
              </w:rPr>
              <w:t>аким образом компенсируется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Pr="00EA767D">
              <w:rPr>
                <w:rFonts w:ascii="Times New Roman" w:hAnsi="Times New Roman" w:cs="Times New Roman"/>
                <w:b/>
                <w:sz w:val="24"/>
                <w:szCs w:val="24"/>
              </w:rPr>
              <w:t>в выходной или праздничный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064" w:type="dxa"/>
          </w:tcPr>
          <w:p w:rsidR="00964BA7" w:rsidRPr="00EB1BBE" w:rsidRDefault="00964BA7" w:rsidP="00380636">
            <w:pPr>
              <w:pStyle w:val="ConsPlusNormal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привлечения работника к работе в установленный ему графиком выходной день или нерабочий праздничный день работа оплачивается </w:t>
            </w:r>
            <w:r w:rsidRPr="00EA767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proofErr w:type="gramStart"/>
            <w:r w:rsidR="00773C36" w:rsidRPr="00EA76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767D">
              <w:rPr>
                <w:rFonts w:ascii="Times New Roman" w:hAnsi="Times New Roman" w:cs="Times New Roman"/>
                <w:sz w:val="24"/>
                <w:szCs w:val="24"/>
              </w:rPr>
              <w:t xml:space="preserve"> чем в двойном размере рабо</w:t>
            </w:r>
            <w:r w:rsidRPr="00EA7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767D">
              <w:rPr>
                <w:rFonts w:ascii="Times New Roman" w:hAnsi="Times New Roman" w:cs="Times New Roman"/>
                <w:sz w:val="24"/>
                <w:szCs w:val="24"/>
              </w:rPr>
              <w:t>никам,</w:t>
            </w: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получающим должностной оклад, в размере не менее одинарной дневной или часовой базовой ставки сверх оклада, если работа в выходной и нерабочий праздничный день произв</w:t>
            </w: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>дилась в пределах месячной нормы рабочего времени, и в размере не менее двойной часовой или дневной ставки сверх базового оклада, если работа производилась сверх месячной нормы.</w:t>
            </w:r>
          </w:p>
          <w:p w:rsidR="00964BA7" w:rsidRPr="00EB1BBE" w:rsidRDefault="00964BA7" w:rsidP="00380636">
            <w:pPr>
              <w:pStyle w:val="ConsPlusNormal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BBE">
              <w:rPr>
                <w:rFonts w:ascii="Times New Roman" w:hAnsi="Times New Roman" w:cs="Times New Roman"/>
                <w:sz w:val="24"/>
                <w:szCs w:val="24"/>
              </w:rPr>
      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      </w:r>
          </w:p>
          <w:p w:rsidR="007C54BF" w:rsidRPr="00EB1BBE" w:rsidRDefault="007C54BF" w:rsidP="0038063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920" w:rsidTr="00C31FBF">
        <w:tc>
          <w:tcPr>
            <w:tcW w:w="675" w:type="dxa"/>
          </w:tcPr>
          <w:p w:rsidR="00483920" w:rsidRDefault="00483920" w:rsidP="0038063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83920" w:rsidRPr="00483920" w:rsidRDefault="00483920" w:rsidP="0029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определяются показатели зарабо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платы медицинских работников в рамках выполнения 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2012 г. № 597 «О мероприятиях по реализации государственной социальной полит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Start w:id="0" w:name="_GoBack"/>
            <w:bookmarkEnd w:id="0"/>
          </w:p>
        </w:tc>
        <w:tc>
          <w:tcPr>
            <w:tcW w:w="10064" w:type="dxa"/>
          </w:tcPr>
          <w:p w:rsidR="00483920" w:rsidRPr="00D50D6C" w:rsidRDefault="00483920" w:rsidP="002965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Российской Федерации от 7 мая 2012 г. № 597 «О мероприятиях по реализации государственной социальной политики» предусмотрено повыш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ние к 2018 году средней заработной платы младшего медицинского персонала, среднего мед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цинского - до 100%, врачей - до 200% от среднемесячного дохода от трудовой деятельности в соответствующем регионе.</w:t>
            </w:r>
          </w:p>
          <w:p w:rsidR="00483920" w:rsidRPr="00D50D6C" w:rsidRDefault="00483920" w:rsidP="002965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 xml:space="preserve">То есть Указом установлены средние параметры по заработной плате, а не минимальные. </w:t>
            </w:r>
          </w:p>
          <w:p w:rsidR="00483920" w:rsidRPr="00D50D6C" w:rsidRDefault="00483920" w:rsidP="002965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показателей, определенных Указом, осуществляется в отношении соотве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ствующей категории работников в целом по республике. При этом сохраняется обусловленная различиями в сложности труда дифференциация в оплате труда работников, занимающих ра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личные должности, относящиеся к одной категории.</w:t>
            </w:r>
          </w:p>
          <w:p w:rsidR="00483920" w:rsidRDefault="00483920" w:rsidP="0029650B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Таким образом, заработная плата конкретного работника будет зависеть от его квал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 xml:space="preserve">фикации, сложности, количества и качества выполняемой работы, эффективности работы 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и может быть как выше, так и ниже целевого значения, установленного указами для соответствующей категории работников.</w:t>
            </w:r>
          </w:p>
          <w:p w:rsidR="00483920" w:rsidRDefault="00483920" w:rsidP="0029650B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920" w:rsidRPr="00D50D6C" w:rsidRDefault="00483920" w:rsidP="002965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Показатель средней заработной платы рассчитывается на 1 человека, а не на одну ста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 xml:space="preserve">ку. </w:t>
            </w:r>
          </w:p>
          <w:p w:rsidR="00483920" w:rsidRPr="00D50D6C" w:rsidRDefault="00483920" w:rsidP="002965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Методика расчета фактического уровня средней заработной платы отдельных категорий работников, определенных Указами Президента РФ от 7 мая 2012 г. № 597,  утверждена расп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 xml:space="preserve">ряжением Правительства Российской Федерации от 26.11.2012 № 2190-р «Об утверждении </w:t>
            </w:r>
            <w:proofErr w:type="gramStart"/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Программы поэтапного совершенствования системы оплаты труда</w:t>
            </w:r>
            <w:proofErr w:type="gramEnd"/>
            <w:r w:rsidRPr="00D50D6C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(мун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D6C">
              <w:rPr>
                <w:rFonts w:ascii="Times New Roman" w:hAnsi="Times New Roman" w:cs="Times New Roman"/>
                <w:sz w:val="24"/>
                <w:szCs w:val="24"/>
              </w:rPr>
              <w:t>ципальных) учреждениях на 2012 - 2018 годы».</w:t>
            </w:r>
          </w:p>
          <w:p w:rsidR="00483920" w:rsidRPr="00040CC7" w:rsidRDefault="00483920" w:rsidP="0029650B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3 Методики показатель средней заработной платы исчисляе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ся в отношении работников списочного состава по основной работе делением фонда начисле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ной заработной платы работников списочного состава (без фонда заработной платы внешних совместителей и фонда заработной платы по договорам гражданско-правового характера с л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цами, не являющимися работниками учреждений) на среднесписочную численность работн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ков (без внешних совместителей и работающих по договорам гражданско-правового характера</w:t>
            </w:r>
            <w:proofErr w:type="gramEnd"/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) и на количество месяцев в периоде. При этом в сумму начисленной заработной платы работн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ков списочного состава по основной работе включается оплата труда по внутреннему совм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стительству, а также вознаграждения по договорам гражданско-правового характера, закл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0CC7">
              <w:rPr>
                <w:rFonts w:ascii="Times New Roman" w:hAnsi="Times New Roman" w:cs="Times New Roman"/>
                <w:sz w:val="24"/>
                <w:szCs w:val="24"/>
              </w:rPr>
              <w:t>ченным работниками списочного состава со своим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920" w:rsidRPr="00EB1BBE" w:rsidRDefault="00483920" w:rsidP="0029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4DE" w:rsidRPr="00CD54DE" w:rsidRDefault="00CD54DE" w:rsidP="00CD54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54DE" w:rsidRPr="00CD54DE" w:rsidSect="00C31F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CA7"/>
    <w:multiLevelType w:val="hybridMultilevel"/>
    <w:tmpl w:val="0652CF4C"/>
    <w:lvl w:ilvl="0" w:tplc="787CA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DE"/>
    <w:rsid w:val="00067D2B"/>
    <w:rsid w:val="000F1C29"/>
    <w:rsid w:val="000F725F"/>
    <w:rsid w:val="00184876"/>
    <w:rsid w:val="001D061E"/>
    <w:rsid w:val="002C6897"/>
    <w:rsid w:val="0031688E"/>
    <w:rsid w:val="00317269"/>
    <w:rsid w:val="00345F63"/>
    <w:rsid w:val="00380636"/>
    <w:rsid w:val="003C794C"/>
    <w:rsid w:val="004133D0"/>
    <w:rsid w:val="00483920"/>
    <w:rsid w:val="004E0725"/>
    <w:rsid w:val="004F222C"/>
    <w:rsid w:val="005B4C9C"/>
    <w:rsid w:val="005C7BB0"/>
    <w:rsid w:val="005E4AB1"/>
    <w:rsid w:val="00606C1C"/>
    <w:rsid w:val="00694145"/>
    <w:rsid w:val="006A2273"/>
    <w:rsid w:val="00704E9E"/>
    <w:rsid w:val="00707BE2"/>
    <w:rsid w:val="00756E3F"/>
    <w:rsid w:val="00773C36"/>
    <w:rsid w:val="007C54BF"/>
    <w:rsid w:val="00964BA7"/>
    <w:rsid w:val="00A0418A"/>
    <w:rsid w:val="00A44FDE"/>
    <w:rsid w:val="00AA7EF2"/>
    <w:rsid w:val="00AD5CC6"/>
    <w:rsid w:val="00B37F91"/>
    <w:rsid w:val="00C15464"/>
    <w:rsid w:val="00C15DC0"/>
    <w:rsid w:val="00C31FBF"/>
    <w:rsid w:val="00C40D32"/>
    <w:rsid w:val="00C4175A"/>
    <w:rsid w:val="00C532A9"/>
    <w:rsid w:val="00CD54DE"/>
    <w:rsid w:val="00D450E0"/>
    <w:rsid w:val="00DC2FDA"/>
    <w:rsid w:val="00DC7BBC"/>
    <w:rsid w:val="00E90927"/>
    <w:rsid w:val="00EA767D"/>
    <w:rsid w:val="00EB1BBE"/>
    <w:rsid w:val="00ED039C"/>
    <w:rsid w:val="00F04BCF"/>
    <w:rsid w:val="00F81AEC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7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4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7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4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Ю. Дмитриева</dc:creator>
  <cp:lastModifiedBy>Гузель Т. Хайбуллина</cp:lastModifiedBy>
  <cp:revision>2</cp:revision>
  <cp:lastPrinted>2016-01-29T12:29:00Z</cp:lastPrinted>
  <dcterms:created xsi:type="dcterms:W3CDTF">2019-08-16T07:37:00Z</dcterms:created>
  <dcterms:modified xsi:type="dcterms:W3CDTF">2019-08-16T07:37:00Z</dcterms:modified>
</cp:coreProperties>
</file>